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26-256</w:t>
      </w:r>
    </w:p>
    <w:p>
      <w:pPr>
        <w:spacing w:before="0" w:after="0" w:line="480"/>
        <w:ind w:left="120"/>
        <w:jc w:val="left"/>
      </w:pPr>
    </w:p>
    <w:p>
      <w:pPr>
        <w:spacing w:before="0" w:after="0" w:line="480"/>
        <w:ind w:left="120"/>
        <w:jc w:val="center"/>
      </w:pPr>
      <w:r>
        <w:rPr>
          <w:rFonts w:ascii="Times New Roman" w:hAnsi="Times New Roman"/>
          <w:b/>
          <w:i w:val="false"/>
          <w:color w:val="000000"/>
          <w:sz w:val="28"/>
        </w:rPr>
        <w:t>TREASURER OF STATE[781]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781—Chapter 9</w:t>
      </w:r>
    </w:p>
    <w:p>
      <w:pPr>
        <w:spacing w:before="0" w:after="0" w:line="480"/>
        <w:ind w:left="120"/>
        <w:jc w:val="center"/>
      </w:pPr>
      <w:r>
        <w:rPr>
          <w:rFonts w:ascii="Times New Roman" w:hAnsi="Times New Roman"/>
          <w:b w:val="false"/>
          <w:i w:val="false"/>
          <w:color w:val="000000"/>
          <w:sz w:val="24"/>
        </w:rPr>
        <w:t>“Unclaimed Property”</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556</w:t>
      </w:r>
    </w:p>
    <w:p>
      <w:pPr>
        <w:spacing w:before="0" w:after="0" w:line="480"/>
        <w:ind w:left="120"/>
        <w:jc w:val="both"/>
      </w:pPr>
      <w:r>
        <w:rPr>
          <w:rFonts w:ascii="Times New Roman" w:hAnsi="Times New Roman"/>
          <w:b w:val="false"/>
          <w:i w:val="false"/>
          <w:color w:val="000000"/>
          <w:sz w:val="24"/>
        </w:rPr>
        <w:t>State or federal law(s) implemented by the rulemaking: Iowa Code chapter 556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113</w:t>
            </w:r>
            <w:r>
              <w:br/>
            </w:r>
            <w:r>
              <w:rPr>
                <w:rFonts w:ascii="Times New Roman" w:hAnsi="Times New Roman"/>
                <w:b w:val="false"/>
                <w:i w:val="false"/>
                <w:color w:val="000000"/>
                <w:sz w:val="14"/>
              </w:rPr>
              <w:t>Office of the Treasurer of State</w:t>
            </w:r>
            <w:r>
              <w:br/>
            </w:r>
            <w:r>
              <w:rPr>
                <w:rFonts w:ascii="Times New Roman" w:hAnsi="Times New Roman"/>
                <w:b w:val="false"/>
                <w:i w:val="false"/>
                <w:color w:val="000000"/>
                <w:sz w:val="14"/>
              </w:rPr>
              <w:t>Iowa Capitol</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Treasurer of State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Molly Widen, Chief of Staff</w:t>
            </w:r>
            <w:r>
              <w:br/>
            </w:r>
            <w:r>
              <w:rPr>
                <w:rFonts w:ascii="Times New Roman" w:hAnsi="Times New Roman"/>
                <w:b w:val="false"/>
                <w:i w:val="false"/>
                <w:color w:val="000000"/>
                <w:sz w:val="14"/>
              </w:rPr>
              <w:t>1007 East Grand Avenue, First Floor</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molly.widen@tos.iowa.gov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is necessary to remove restrictions related to asset purchase agreements and to make updates related to the reporting of individual retirement accounts.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No class of person will bear the costs of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Asset purchasers, “large business associations” as defined in the proposed rules, certificate of deposit and other timed deposit owners, and owners of uncashed distribution checks issued from tax-advantaged accounts will benefit from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No quantitative impact is expected as a result of this rulemaking.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 qualitative impact is expected as a result of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borne by the agency as a result of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expected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will clarify language related to the reporting of certificates of deposit and other time deposits. Additionally, it will allow asset purchase agreements to become fully effective in the State of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methods exist.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Not applicable.</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781—9.9(556)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781—9.9</w:t>
      </w:r>
      <w:r>
        <w:rPr>
          <w:rFonts w:ascii="Times New Roman" w:hAnsi="Times New Roman"/>
          <w:b/>
          <w:i w:val="false"/>
          <w:color w:val="000000"/>
          <w:sz w:val="24"/>
        </w:rPr>
        <w:t xml:space="preserve">(556) </w:t>
      </w:r>
      <w:r>
        <w:rPr>
          <w:rFonts w:ascii="Times New Roman" w:hAnsi="Times New Roman"/>
          <w:b/>
          <w:i w:val="false"/>
          <w:color w:val="000000"/>
          <w:sz w:val="24"/>
        </w:rPr>
        <w:t xml:space="preserve">Reporting of certificates of deposit and other time deposits. </w:t>
      </w:r>
      <w:r>
        <w:rPr>
          <w:rFonts w:ascii="Times New Roman" w:hAnsi="Times New Roman"/>
          <w:b w:val="false"/>
          <w:i w:val="false"/>
          <w:color w:val="000000"/>
          <w:sz w:val="24"/>
        </w:rPr>
        <w:t xml:space="preserve">Where the term of a certificate of deposit or other time deposit is greater than the abandonment period of three years under Iowa Code section </w:t>
      </w:r>
      <w:hyperlink r:id="rId5">
        <w:r>
          <w:rPr>
            <w:rStyle w:val="Hyperlink"/>
            <w:rFonts w:ascii="Times New Roman" w:hAnsi="Times New Roman"/>
            <w:b w:val="false"/>
            <w:i w:val="false"/>
            <w:color w:val="000000"/>
            <w:sz w:val="24"/>
          </w:rPr>
          <w:t>556.2(1)</w:t>
        </w:r>
      </w:hyperlink>
      <w:r>
        <w:rPr>
          <w:rFonts w:ascii="Times New Roman" w:hAnsi="Times New Roman"/>
          <w:b w:val="false"/>
          <w:i w:val="false"/>
          <w:color w:val="000000"/>
          <w:sz w:val="24"/>
        </w:rPr>
        <w:t>, the time for the reporting of delivery of the certificate of deposit or other time deposit to the division shall be extended to the date of maturity or three years from the date on which the abandonment period commences, whichever is later.</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6">
        <w:r>
          <w:rPr>
            <w:rStyle w:val="Hyperlink"/>
            <w:rFonts w:ascii="Times New Roman" w:hAnsi="Times New Roman"/>
            <w:b w:val="false"/>
            <w:i w:val="false"/>
            <w:color w:val="000000"/>
            <w:sz w:val="24"/>
          </w:rPr>
          <w:t>556</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9.12(2)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9.12(2)</w:t>
      </w:r>
      <w:r>
        <w:rPr>
          <w:rFonts w:ascii="Times New Roman" w:hAnsi="Times New Roman"/>
          <w:b w:val="false"/>
          <w:i w:val="false"/>
          <w:color w:val="000000"/>
          <w:sz w:val="24"/>
        </w:rPr>
        <w:t> </w:t>
      </w:r>
      <w:r>
        <w:rPr>
          <w:rFonts w:ascii="Times New Roman" w:hAnsi="Times New Roman"/>
          <w:b w:val="false"/>
          <w:i w:val="false"/>
          <w:color w:val="000000"/>
          <w:sz w:val="24"/>
        </w:rPr>
        <w:t xml:space="preserve">Uncashed distribution checks issued from tax-advantaged accounts are reportable three years from the date the </w:t>
      </w:r>
      <w:r>
        <w:rPr>
          <w:rFonts w:ascii="Times New Roman" w:hAnsi="Times New Roman"/>
          <w:b w:val="false"/>
          <w:i w:val="false"/>
          <w:strike/>
          <w:color w:val="000000"/>
          <w:sz w:val="24"/>
        </w:rPr>
        <w:t>property became reportable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check was issued</w:t>
      </w:r>
      <w:r>
        <w:rPr>
          <w:rFonts w:ascii="Times New Roman" w:hAnsi="Times New Roman"/>
          <w:b w:val="false"/>
          <w:i w:val="false"/>
          <w:color w:val="000000"/>
          <w:sz w:val="24"/>
        </w:rPr>
        <w:t xml:space="preserve"> pursuant to Iowa Code section </w:t>
      </w:r>
      <w:hyperlink r:id="rId7">
        <w:r>
          <w:rPr>
            <w:rStyle w:val="Hyperlink"/>
            <w:rFonts w:ascii="Times New Roman" w:hAnsi="Times New Roman"/>
            <w:b w:val="false"/>
            <w:i w:val="false"/>
            <w:color w:val="000000"/>
            <w:sz w:val="24"/>
          </w:rPr>
          <w:t>556.7</w:t>
        </w:r>
      </w:hyperlink>
      <w:r>
        <w:rPr>
          <w:rFonts w:ascii="Times New Roman" w:hAnsi="Times New Roman"/>
          <w:b w:val="false"/>
          <w:i w:val="false"/>
          <w:color w:val="000000"/>
          <w:sz w:val="24"/>
        </w:rPr>
        <w:t>. Uncashed distribution checks issued for a plan account described in Sections 529 and 529A of the Internal Revenue Code shall be reported in accordance with the IRS 1099-Q form issued at the time the distribution check was issued.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781—9.33(556)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781—9.33</w:t>
      </w:r>
      <w:r>
        <w:rPr>
          <w:rFonts w:ascii="Times New Roman" w:hAnsi="Times New Roman"/>
          <w:b/>
          <w:i w:val="false"/>
          <w:color w:val="000000"/>
          <w:sz w:val="24"/>
        </w:rPr>
        <w:t xml:space="preserve">(556) </w:t>
      </w:r>
      <w:r>
        <w:rPr>
          <w:rFonts w:ascii="Times New Roman" w:hAnsi="Times New Roman"/>
          <w:b/>
          <w:i w:val="false"/>
          <w:color w:val="000000"/>
          <w:sz w:val="24"/>
        </w:rPr>
        <w:t xml:space="preserve">Claimant interest in unclaimed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9.33(1)</w:t>
      </w:r>
      <w:r>
        <w:rPr>
          <w:rFonts w:ascii="Times New Roman" w:hAnsi="Times New Roman"/>
          <w:b w:val="false"/>
          <w:i w:val="false"/>
          <w:color w:val="000000"/>
          <w:sz w:val="24"/>
        </w:rPr>
        <w:t> </w:t>
      </w:r>
      <w:r>
        <w:rPr>
          <w:rFonts w:ascii="Times New Roman" w:hAnsi="Times New Roman"/>
          <w:b w:val="false"/>
          <w:i w:val="false"/>
          <w:color w:val="000000"/>
          <w:sz w:val="24"/>
        </w:rPr>
        <w:t>The division shall have the exclusive authority to determine a claimant’s interest in unclaimed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9.33(2)</w:t>
      </w:r>
      <w:r>
        <w:rPr>
          <w:rFonts w:ascii="Times New Roman" w:hAnsi="Times New Roman"/>
          <w:b w:val="false"/>
          <w:i w:val="false"/>
          <w:color w:val="000000"/>
          <w:sz w:val="24"/>
        </w:rPr>
        <w:t> </w:t>
      </w:r>
      <w:r>
        <w:rPr>
          <w:rFonts w:ascii="Times New Roman" w:hAnsi="Times New Roman"/>
          <w:b w:val="false"/>
          <w:i w:val="false"/>
          <w:color w:val="000000"/>
          <w:sz w:val="24"/>
        </w:rPr>
        <w:t>Absent an order of a court of competent jurisdiction or by operation of the Iowa probate code or other applicable law, an owner’s interest in unclaimed property held by the division may not be transferred to a third party except in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a remnant asset in bankruptcy</w:t>
      </w:r>
      <w:r>
        <w:rPr>
          <w:rFonts w:ascii="Times New Roman" w:hAnsi="Times New Roman"/>
          <w:b w:val="false"/>
          <w:i w:val="false"/>
          <w:strike/>
          <w:color w:val="000000"/>
          <w:sz w:val="24"/>
        </w:rPr>
        <w:t>;</w:t>
      </w:r>
      <w:r>
        <w:rPr>
          <w:rFonts w:ascii="Times New Roman" w:hAnsi="Times New Roman"/>
          <w:b w:val="false"/>
          <w:i w:val="false"/>
          <w:color w:val="000000"/>
          <w:sz w:val="24"/>
          <w:u w:val="single"/>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Under an asset purchase agreement where the sellers comprise a large business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the purposes of this subrule, a “large business association” means a business association or group of business associations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Generates $100 million or more in annual gross receipts or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Employs 100 or more full-time employees in the United States,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Has equity securities publicly traded on an exchange regulated by the federal Securities and Exchange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Claims filed by asset purchasers under this paragraph must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executed copy of the asset purchase agreement or similar contract between the asset purchaser and the seller, only commercially sensitive pricing terms for which may be redacted,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attestation by the seller either in the asset purchase agreement or in a separate written affirmation from the owner that the owner: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u w:val="single"/>
        </w:rPr>
        <w:t>Meets one or more of the above characteristics that qualify it as a large business association,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 aware that it is selling unclaimed property that may be recovered from the administrator without paying a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the seller is a publicly traded entity, the asset purchaser may provide a copy, or a link to an online copy, of the most recent Form 10-K filed with the Securities and Exchange Commission in lieu of the affirmation that the seller meets one or more of the characteristics that qualify it as a large business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xml:space="preserve"> </w:t>
      </w:r>
      <w:r>
        <w:rPr>
          <w:rFonts w:ascii="Times New Roman" w:hAnsi="Times New Roman"/>
          <w:b w:val="false"/>
          <w:i/>
          <w:color w:val="000000"/>
          <w:sz w:val="24"/>
          <w:u w:val="single"/>
        </w:rPr>
        <w:t>c.</w:t>
      </w:r>
      <w:r>
        <w:rPr>
          <w:rFonts w:ascii="Times New Roman" w:hAnsi="Times New Roman"/>
          <w:b w:val="false"/>
          <w:i w:val="false"/>
          <w:color w:val="000000"/>
          <w:sz w:val="24"/>
        </w:rPr>
        <w:t>Under an agreement that assigns the apparent owner’s interest in the unclaimed property where the agreement is otherwise valid and meets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agreement is made at least 24 months after the date payment or delivery is made under Iowa Code section </w:t>
      </w:r>
      <w:hyperlink r:id="rId8">
        <w:r>
          <w:rPr>
            <w:rStyle w:val="Hyperlink"/>
            <w:rFonts w:ascii="Times New Roman" w:hAnsi="Times New Roman"/>
            <w:b w:val="false"/>
            <w:i w:val="false"/>
            <w:color w:val="000000"/>
            <w:sz w:val="24"/>
          </w:rPr>
          <w:t>556.13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agreement is in writing and signed by the apparent owner;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agreement discloses the nature and value of the property and the name and address of the person in possession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9.33(3)</w:t>
      </w:r>
      <w:r>
        <w:rPr>
          <w:rFonts w:ascii="Times New Roman" w:hAnsi="Times New Roman"/>
          <w:b w:val="false"/>
          <w:i w:val="false"/>
          <w:color w:val="000000"/>
          <w:sz w:val="24"/>
        </w:rPr>
        <w:t> </w:t>
      </w:r>
      <w:r>
        <w:rPr>
          <w:rFonts w:ascii="Times New Roman" w:hAnsi="Times New Roman"/>
          <w:b w:val="false"/>
          <w:i w:val="false"/>
          <w:color w:val="000000"/>
          <w:sz w:val="24"/>
        </w:rPr>
        <w:t>For the purposes of the Act, a money or similar judgment against an apparent owner does not create an interest in the specific property held by the division on behalf of the apparent owner.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556.19</w:t>
        </w:r>
      </w:hyperlink>
      <w:r>
        <w:rPr>
          <w:rFonts w:ascii="Times New Roman" w:hAnsi="Times New Roman"/>
          <w:b w:val="false"/>
          <w:i w:val="false"/>
          <w:color w:val="000000"/>
          <w:sz w:val="24"/>
        </w:rPr>
        <w:t>.</w:t>
      </w:r>
    </w:p>
    <w:p>
      <w:pPr>
        <w:spacing w:before="0" w:after="0" w:line="240"/>
        <w:ind w:left="120"/>
        <w:jc w:val="both"/>
      </w:pP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olly.widen@tos.iowa.gov" Type="http://schemas.openxmlformats.org/officeDocument/2006/relationships/hyperlink" Id="rId4"/>
    <Relationship TargetMode="External" Target="https://www.legis.iowa.gov/docs/ico/chapter/556.2.pdf" Type="http://schemas.openxmlformats.org/officeDocument/2006/relationships/hyperlink" Id="rId5"/>
    <Relationship TargetMode="External" Target="https://www.legis.iowa.gov/docs/ico/chapter/556.pdf" Type="http://schemas.openxmlformats.org/officeDocument/2006/relationships/hyperlink" Id="rId6"/>
    <Relationship TargetMode="External" Target="https://www.legis.iowa.gov/docs/ico/chapter/556.7.pdf" Type="http://schemas.openxmlformats.org/officeDocument/2006/relationships/hyperlink" Id="rId7"/>
    <Relationship TargetMode="External" Target="https://www.legis.iowa.gov/docs/ico/chapter/556.13.pdf" Type="http://schemas.openxmlformats.org/officeDocument/2006/relationships/hyperlink" Id="rId8"/>
    <Relationship TargetMode="External" Target="https://www.legis.iowa.gov/docs/ico/chapter/556.1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